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26-245</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760 and subrule 761.3(2)</w:t>
      </w:r>
    </w:p>
    <w:p>
      <w:pPr>
        <w:spacing w:before="0" w:after="0" w:line="480"/>
        <w:ind w:left="120"/>
        <w:jc w:val="center"/>
      </w:pPr>
      <w:r>
        <w:rPr>
          <w:rFonts w:ascii="Times New Roman" w:hAnsi="Times New Roman"/>
          <w:b w:val="false"/>
          <w:i w:val="false"/>
          <w:color w:val="000000"/>
          <w:sz w:val="24"/>
        </w:rPr>
        <w:t>“Licensure of Optometrists; Specific Criteria”</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154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147, 154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Board of Optometry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Emily DeRonde</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515.249.7038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amends rules for continuing education and allows licensees to complete more distance learning continuing education credits that will go toward the 50 credit hours required. This proposed rulemaking also promulgates rules for foreign-trained optometrists and a pathway toward licensure for these applicants.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related to this proposed rulemaking other than the costs already incurred by the Board to enforce the rules. Licensed optometrists will not incur any additional costs other than the cost of licensing. The continuing education rules may allow them to save money taking distance learning courses rather than in-person courses.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provides requirements for foreign-trained graduates since there were previously no rules allowing licensure for these graduates. It will also benefit licensees, allowing them to take additional distance learning courses that do not require them to be in person.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payment/copayment for optometry services provided. Optometrists would be responsible for ensuring they meet the continuing education and licensure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benefits achieved justify the costs because the rules provide a pathway to licensure for foreign-trained graduates while still ensuring safe and competent care for patients. It also gives licensees additional flexibility with continuing education courses.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does not anticipate any further costs than are already incurred. The time needed to manage this provision is generally in the form of responding to questions related to practice standards.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believes the costs and benefits are worth developing these rules because the Board developed rules to provide a pathway to licensure for foreign-trained graduates. The Board also alleviated some barriers to obtaining continuing education credit.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does not believe there is a less costly or less intrusive method to achieve the purpose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relates to public safety concerns that are present whether the business is a small business or a large corporation. While some optometrists may work in a smaller optometry office, some also work for large corporations, hospitals, and other optometry facilities. To exempt a small business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481—760.1(154)</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“Reactivate,”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“Reactivate”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“reactivation”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process as outlined in rule </w:t>
      </w:r>
      <w:hyperlink r:id="rId5">
        <w:r>
          <w:rPr>
            <w:rStyle w:val="Hyperlink"/>
            <w:rFonts w:ascii="Times New Roman" w:hAnsi="Times New Roman"/>
            <w:b w:val="false"/>
            <w:i w:val="false"/>
            <w:strike/>
            <w:color w:val="000000"/>
            <w:sz w:val="24"/>
          </w:rPr>
          <w:t>481—760.5</w:t>
        </w:r>
      </w:hyperlink>
      <w:r>
        <w:rPr>
          <w:rFonts w:ascii="Times New Roman" w:hAnsi="Times New Roman"/>
          <w:b w:val="false"/>
          <w:i w:val="false"/>
          <w:strike/>
          <w:color w:val="000000"/>
          <w:sz w:val="24"/>
        </w:rPr>
        <w:t>(17A,147,272C)</w:t>
      </w:r>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481—760.6</w:t>
        </w:r>
      </w:hyperlink>
      <w:r>
        <w:rPr>
          <w:rFonts w:ascii="Times New Roman" w:hAnsi="Times New Roman"/>
          <w:b w:val="false"/>
          <w:i w:val="false"/>
          <w:color w:val="000000"/>
          <w:sz w:val="24"/>
          <w:u w:val="single"/>
        </w:rPr>
        <w:t>(17A,147,272C)</w:t>
      </w:r>
      <w:r>
        <w:rPr>
          <w:rFonts w:ascii="Times New Roman" w:hAnsi="Times New Roman"/>
          <w:b w:val="false"/>
          <w:i w:val="false"/>
          <w:color w:val="000000"/>
          <w:sz w:val="24"/>
        </w:rPr>
        <w:t xml:space="preserve"> by which an inactive license is restored to active status.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481—760.3(154)</w:t>
      </w:r>
      <w:r>
        <w:rPr>
          <w:rFonts w:ascii="Times New Roman" w:hAnsi="Times New Roman"/>
          <w:b w:val="false"/>
          <w:i w:val="false"/>
          <w:color w:val="000000"/>
          <w:sz w:val="24"/>
        </w:rPr>
        <w:t xml:space="preserve"> to </w:t>
      </w:r>
      <w:r>
        <w:rPr>
          <w:rFonts w:ascii="Times New Roman" w:hAnsi="Times New Roman"/>
          <w:b/>
          <w:i w:val="false"/>
          <w:color w:val="000000"/>
          <w:sz w:val="24"/>
        </w:rPr>
        <w:t>481—760.6(17A,147,272C)</w:t>
      </w:r>
      <w:r>
        <w:rPr>
          <w:rFonts w:ascii="Times New Roman" w:hAnsi="Times New Roman"/>
          <w:b w:val="false"/>
          <w:i w:val="false"/>
          <w:color w:val="000000"/>
          <w:sz w:val="24"/>
        </w:rPr>
        <w:t xml:space="preserve"> as </w:t>
      </w:r>
      <w:r>
        <w:rPr>
          <w:rFonts w:ascii="Times New Roman" w:hAnsi="Times New Roman"/>
          <w:b/>
          <w:i w:val="false"/>
          <w:color w:val="000000"/>
          <w:sz w:val="24"/>
        </w:rPr>
        <w:t>481—760.4(154)</w:t>
      </w:r>
      <w:r>
        <w:rPr>
          <w:rFonts w:ascii="Times New Roman" w:hAnsi="Times New Roman"/>
          <w:b w:val="false"/>
          <w:i w:val="false"/>
          <w:color w:val="000000"/>
          <w:sz w:val="24"/>
        </w:rPr>
        <w:t xml:space="preserve"> to </w:t>
      </w:r>
      <w:r>
        <w:rPr>
          <w:rFonts w:ascii="Times New Roman" w:hAnsi="Times New Roman"/>
          <w:b/>
          <w:i w:val="false"/>
          <w:color w:val="000000"/>
          <w:sz w:val="24"/>
        </w:rPr>
        <w:t>481—760.7(17A,147,272C)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481—760.3</w:t>
      </w:r>
      <w:r>
        <w:rPr>
          <w:rFonts w:ascii="Times New Roman" w:hAnsi="Times New Roman"/>
          <w:b w:val="false"/>
          <w:i w:val="false"/>
          <w:color w:val="000000"/>
          <w:sz w:val="24"/>
        </w:rPr>
        <w:t>(154):</w:t>
      </w:r>
    </w:p>
    <w:p>
      <w:pPr>
        <w:spacing w:before="0" w:after="0" w:line="480"/>
        <w:ind w:left="120"/>
        <w:jc w:val="both"/>
      </w:pPr>
      <w:r>
        <w:rPr>
          <w:rFonts w:ascii="Times New Roman" w:hAnsi="Times New Roman"/>
          <w:b/>
          <w:i w:val="false"/>
          <w:color w:val="000000"/>
          <w:sz w:val="24"/>
        </w:rPr>
        <w:t>481—760.3</w:t>
      </w:r>
      <w:r>
        <w:rPr>
          <w:rFonts w:ascii="Times New Roman" w:hAnsi="Times New Roman"/>
          <w:b/>
          <w:i w:val="false"/>
          <w:color w:val="000000"/>
          <w:sz w:val="24"/>
        </w:rPr>
        <w:t xml:space="preserve">(154) </w:t>
      </w:r>
      <w:r>
        <w:rPr>
          <w:rFonts w:ascii="Times New Roman" w:hAnsi="Times New Roman"/>
          <w:b/>
          <w:i w:val="false"/>
          <w:color w:val="000000"/>
          <w:sz w:val="24"/>
        </w:rPr>
        <w:t xml:space="preserve">Educational qualifications for foreign-trained optometrists. </w:t>
      </w:r>
      <w:r>
        <w:rPr>
          <w:rFonts w:ascii="Times New Roman" w:hAnsi="Times New Roman"/>
          <w:b w:val="false"/>
          <w:i w:val="false"/>
          <w:color w:val="000000"/>
          <w:sz w:val="24"/>
        </w:rPr>
        <w:t>Prospective applicants who completed their education outside of the United States may receive credit for their education, provided they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760.3(1)</w:t>
      </w:r>
      <w:r>
        <w:rPr>
          <w:rFonts w:ascii="Times New Roman" w:hAnsi="Times New Roman"/>
          <w:b w:val="false"/>
          <w:i w:val="false"/>
          <w:color w:val="000000"/>
          <w:sz w:val="24"/>
        </w:rPr>
        <w:t> </w:t>
      </w:r>
      <w:r>
        <w:rPr>
          <w:rFonts w:ascii="Times New Roman" w:hAnsi="Times New Roman"/>
          <w:b w:val="false"/>
          <w:i w:val="false"/>
          <w:color w:val="000000"/>
          <w:sz w:val="24"/>
        </w:rPr>
        <w:t>Provide an equivalency evaluation of the applicant’s educational credentials by a board-approved agency, demonstrating the curriculum is equivalent to that stated in these rules. The applicant bears the expense of the curriculum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760.3(2)</w:t>
      </w:r>
      <w:r>
        <w:rPr>
          <w:rFonts w:ascii="Times New Roman" w:hAnsi="Times New Roman"/>
          <w:b w:val="false"/>
          <w:i w:val="false"/>
          <w:color w:val="000000"/>
          <w:sz w:val="24"/>
        </w:rPr>
        <w:t> </w:t>
      </w:r>
      <w:r>
        <w:rPr>
          <w:rFonts w:ascii="Times New Roman" w:hAnsi="Times New Roman"/>
          <w:b w:val="false"/>
          <w:i w:val="false"/>
          <w:color w:val="000000"/>
          <w:sz w:val="24"/>
        </w:rPr>
        <w:t>Provide a notarized copy of the certificate or diploma awarded to the applicant from an optometry program in the country in which the applicant was educated.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760.3(3)</w:t>
      </w:r>
      <w:r>
        <w:rPr>
          <w:rFonts w:ascii="Times New Roman" w:hAnsi="Times New Roman"/>
          <w:b w:val="false"/>
          <w:i w:val="false"/>
          <w:color w:val="000000"/>
          <w:sz w:val="24"/>
        </w:rPr>
        <w:t> </w:t>
      </w:r>
      <w:r>
        <w:rPr>
          <w:rFonts w:ascii="Times New Roman" w:hAnsi="Times New Roman"/>
          <w:b w:val="false"/>
          <w:i w:val="false"/>
          <w:color w:val="000000"/>
          <w:sz w:val="24"/>
        </w:rPr>
        <w:t>Receive a final determination from the board that the applicant’s education is acceptable.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760.5(3)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760.5(3)</w:t>
      </w:r>
      <w:r>
        <w:rPr>
          <w:rFonts w:ascii="Times New Roman" w:hAnsi="Times New Roman"/>
          <w:b w:val="false"/>
          <w:i w:val="false"/>
          <w:color w:val="000000"/>
          <w:sz w:val="24"/>
        </w:rPr>
        <w:t> </w:t>
      </w:r>
      <w:r>
        <w:rPr>
          <w:rFonts w:ascii="Times New Roman" w:hAnsi="Times New Roman"/>
          <w:b w:val="false"/>
          <w:i w:val="false"/>
          <w:color w:val="000000"/>
          <w:sz w:val="24"/>
        </w:rPr>
        <w:t>A licensee applying for renewal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Meet the continuing education requirements of rule </w:t>
      </w:r>
      <w:hyperlink r:id="rId7">
        <w:r>
          <w:rPr>
            <w:rStyle w:val="Hyperlink"/>
            <w:rFonts w:ascii="Times New Roman" w:hAnsi="Times New Roman"/>
            <w:b w:val="false"/>
            <w:i w:val="false"/>
            <w:color w:val="000000"/>
            <w:sz w:val="24"/>
          </w:rPr>
          <w:t>481—761.2</w:t>
        </w:r>
      </w:hyperlink>
      <w:r>
        <w:rPr>
          <w:rFonts w:ascii="Times New Roman" w:hAnsi="Times New Roman"/>
          <w:b w:val="false"/>
          <w:i w:val="false"/>
          <w:color w:val="000000"/>
          <w:sz w:val="24"/>
        </w:rPr>
        <w:t xml:space="preserve">(154) and the mandatory reporting requirements of </w:t>
      </w:r>
      <w:hyperlink r:id="rId8">
        <w:r>
          <w:rPr>
            <w:rStyle w:val="Hyperlink"/>
            <w:rFonts w:ascii="Times New Roman" w:hAnsi="Times New Roman"/>
            <w:b w:val="false"/>
            <w:i w:val="false"/>
            <w:strike/>
            <w:color w:val="000000"/>
            <w:sz w:val="24"/>
          </w:rPr>
          <w:t>subrule 760.5(4)</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subrule </w:t>
      </w:r>
      <w:hyperlink r:id="rId9">
        <w:r>
          <w:rPr>
            <w:rStyle w:val="Hyperlink"/>
            <w:rFonts w:ascii="Times New Roman" w:hAnsi="Times New Roman"/>
            <w:b w:val="false"/>
            <w:i w:val="false"/>
            <w:color w:val="000000"/>
            <w:sz w:val="24"/>
            <w:u w:val="single"/>
          </w:rPr>
          <w:t>760.6(4)</w:t>
        </w:r>
      </w:hyperlink>
      <w:r>
        <w:rPr>
          <w:rFonts w:ascii="Times New Roman" w:hAnsi="Times New Roman"/>
          <w:b w:val="false"/>
          <w:i w:val="false"/>
          <w:color w:val="000000"/>
          <w:sz w:val="24"/>
        </w:rPr>
        <w:t>. A licensee whose license was reactivated during the current renewal compliance period may use continuing education credit earned during the compliance period for the first renewal following reactivation;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761.3(2)“b”(1)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Five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Twelve</w:t>
      </w:r>
      <w:r>
        <w:rPr>
          <w:rFonts w:ascii="Times New Roman" w:hAnsi="Times New Roman"/>
          <w:b w:val="false"/>
          <w:i w:val="false"/>
          <w:color w:val="000000"/>
          <w:sz w:val="24"/>
        </w:rPr>
        <w:t xml:space="preserve"> hours of credit for distance learning.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761.3(2)“c”(2)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on child abuse and dependent adult abuse identification and reporting through the department of health and human services for all licensees who examine, attend, counsel or treat children or dependent adults in the scope of the professional practice. Initial </w:t>
      </w:r>
      <w:r>
        <w:rPr>
          <w:rFonts w:ascii="Times New Roman" w:hAnsi="Times New Roman"/>
          <w:b w:val="false"/>
          <w:i w:val="false"/>
          <w:strike/>
          <w:color w:val="000000"/>
          <w:sz w:val="24"/>
        </w:rPr>
        <w:t>two-hour</w:t>
      </w:r>
      <w:r>
        <w:rPr>
          <w:rFonts w:ascii="Times New Roman" w:hAnsi="Times New Roman"/>
          <w:b w:val="false"/>
          <w:i w:val="false"/>
          <w:color w:val="000000"/>
          <w:sz w:val="24"/>
        </w:rPr>
        <w:t xml:space="preserve"> courses need to be taken with six months of employment. </w:t>
      </w:r>
      <w:r>
        <w:rPr>
          <w:rFonts w:ascii="Times New Roman" w:hAnsi="Times New Roman"/>
          <w:b w:val="false"/>
          <w:i w:val="false"/>
          <w:strike/>
          <w:color w:val="000000"/>
          <w:sz w:val="24"/>
        </w:rPr>
        <w:t>One-hour recertification training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Training</w:t>
      </w:r>
      <w:r>
        <w:rPr>
          <w:rFonts w:ascii="Times New Roman" w:hAnsi="Times New Roman"/>
          <w:b w:val="false"/>
          <w:i w:val="false"/>
          <w:color w:val="000000"/>
          <w:sz w:val="24"/>
        </w:rPr>
        <w:t xml:space="preserve"> needs to be done every three years. </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s://www.legis.iowa.gov/docs/iac/rule/481.760.5.pdf" Type="http://schemas.openxmlformats.org/officeDocument/2006/relationships/hyperlink" Id="rId5"/>
    <Relationship TargetMode="External" Target="https://www.legis.iowa.gov/docs/iac/rule/481.760.6.pdf" Type="http://schemas.openxmlformats.org/officeDocument/2006/relationships/hyperlink" Id="rId6"/>
    <Relationship TargetMode="External" Target="https://www.legis.iowa.gov/docs/iac/rule/481.761.2.pdf" Type="http://schemas.openxmlformats.org/officeDocument/2006/relationships/hyperlink" Id="rId7"/>
    <Relationship TargetMode="External" Target="https://www.legis.iowa.gov/docs/iac/rule/645.180.5.pdf" Type="http://schemas.openxmlformats.org/officeDocument/2006/relationships/hyperlink" Id="rId8"/>
    <Relationship TargetMode="External" Target="https://www.legis.iowa.gov/docs/iac/rule/481.76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